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A5" w:rsidRDefault="00EF1DA5" w:rsidP="00EF1D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>
        <w:t xml:space="preserve">            </w:t>
      </w:r>
    </w:p>
    <w:p w:rsidR="00EF1DA5" w:rsidRPr="00E66127" w:rsidRDefault="00332EC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12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F1DA5" w:rsidRPr="00E66127" w:rsidRDefault="00C34EFB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 «КОЛОБОК» С.П. ПОДГОР</w:t>
      </w:r>
      <w:r w:rsidR="00EF1DA5" w:rsidRPr="00E66127">
        <w:rPr>
          <w:rFonts w:ascii="Times New Roman" w:eastAsia="Times New Roman" w:hAnsi="Times New Roman" w:cs="Times New Roman"/>
          <w:b/>
          <w:sz w:val="24"/>
          <w:szCs w:val="24"/>
        </w:rPr>
        <w:t>НЕНСКОЕ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127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E66127">
        <w:rPr>
          <w:rFonts w:ascii="Times New Roman" w:eastAsia="Times New Roman" w:hAnsi="Times New Roman" w:cs="Arial"/>
          <w:b/>
          <w:sz w:val="24"/>
          <w:szCs w:val="24"/>
        </w:rPr>
        <w:t xml:space="preserve"> (МБДОУ «</w:t>
      </w:r>
      <w:r w:rsidR="00C34EFB">
        <w:rPr>
          <w:rFonts w:ascii="Times New Roman" w:eastAsia="Times New Roman" w:hAnsi="Times New Roman" w:cs="Times New Roman"/>
          <w:b/>
          <w:sz w:val="24"/>
          <w:szCs w:val="24"/>
        </w:rPr>
        <w:t>Детский сад  «Колобок» с.п. Подгор</w:t>
      </w:r>
      <w:r w:rsidRPr="00E66127">
        <w:rPr>
          <w:rFonts w:ascii="Times New Roman" w:eastAsia="Times New Roman" w:hAnsi="Times New Roman" w:cs="Times New Roman"/>
          <w:b/>
          <w:sz w:val="24"/>
          <w:szCs w:val="24"/>
        </w:rPr>
        <w:t>ненское</w:t>
      </w:r>
      <w:r w:rsidRPr="00E66127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EF1DA5" w:rsidRPr="00E66127" w:rsidRDefault="00EF1DA5" w:rsidP="00EF1D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ar-SA"/>
        </w:rPr>
      </w:pPr>
    </w:p>
    <w:tbl>
      <w:tblPr>
        <w:tblpPr w:leftFromText="180" w:rightFromText="180" w:bottomFromText="200" w:vertAnchor="text" w:horzAnchor="margin" w:tblpY="1258"/>
        <w:tblOverlap w:val="never"/>
        <w:tblW w:w="10456" w:type="dxa"/>
        <w:tblLook w:val="04A0"/>
      </w:tblPr>
      <w:tblGrid>
        <w:gridCol w:w="4361"/>
        <w:gridCol w:w="850"/>
        <w:gridCol w:w="567"/>
        <w:gridCol w:w="4678"/>
      </w:tblGrid>
      <w:tr w:rsidR="00EF1DA5" w:rsidRPr="00E66127" w:rsidTr="00C34EFB">
        <w:trPr>
          <w:trHeight w:val="1701"/>
        </w:trPr>
        <w:tc>
          <w:tcPr>
            <w:tcW w:w="4361" w:type="dxa"/>
            <w:hideMark/>
          </w:tcPr>
          <w:p w:rsidR="00EF1DA5" w:rsidRPr="00E66127" w:rsidRDefault="00EF1DA5" w:rsidP="00327831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EF1DA5" w:rsidRPr="00E66127" w:rsidRDefault="00C03E6B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общем собрании коллектива </w:t>
            </w:r>
          </w:p>
          <w:p w:rsidR="00EF1DA5" w:rsidRPr="00E66127" w:rsidRDefault="00C34EFB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МБДОУ «Детский сад «Колобок»  с.п. Подгор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ненское </w:t>
            </w:r>
          </w:p>
          <w:p w:rsidR="00EF1DA5" w:rsidRPr="00E66127" w:rsidRDefault="00EF1DA5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Надтеречного муниципального района»</w:t>
            </w:r>
          </w:p>
          <w:p w:rsidR="00EF1DA5" w:rsidRPr="00E66127" w:rsidRDefault="00C34EFB" w:rsidP="00327831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(протокол от 28</w:t>
            </w:r>
            <w:r w:rsidR="00141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.03.2022</w:t>
            </w:r>
            <w:r w:rsidR="00DE4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bookmarkStart w:id="0" w:name="_GoBack"/>
            <w:bookmarkEnd w:id="0"/>
            <w:r w:rsidR="00141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03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</w:tcPr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hideMark/>
          </w:tcPr>
          <w:p w:rsidR="00EF1DA5" w:rsidRPr="00E66127" w:rsidRDefault="005210CB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приказом МБДОУ </w:t>
            </w:r>
          </w:p>
          <w:p w:rsidR="00EF1DA5" w:rsidRPr="00E66127" w:rsidRDefault="00C34EFB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«Детский сад «Колобок</w:t>
            </w:r>
            <w:r w:rsidR="00EF1DA5"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» </w:t>
            </w:r>
          </w:p>
          <w:p w:rsidR="00EF1DA5" w:rsidRPr="00E66127" w:rsidRDefault="00C34EFB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с.п. Подгор</w:t>
            </w:r>
            <w:r w:rsidR="00EF1DA5"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ненское Надтеречного </w:t>
            </w:r>
          </w:p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муниципального района»</w:t>
            </w:r>
          </w:p>
          <w:p w:rsidR="00EF1DA5" w:rsidRPr="00E66127" w:rsidRDefault="00C34EFB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 28</w:t>
            </w:r>
            <w:r w:rsidR="00141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.03.2022г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42</w:t>
            </w:r>
          </w:p>
        </w:tc>
      </w:tr>
    </w:tbl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Default="00EF1DA5" w:rsidP="00EF1DA5"/>
    <w:p w:rsidR="00EF1DA5" w:rsidRDefault="00EF1DA5" w:rsidP="00EF1DA5"/>
    <w:p w:rsidR="0033712D" w:rsidRDefault="0033712D" w:rsidP="00483828"/>
    <w:p w:rsidR="0033712D" w:rsidRDefault="0033712D" w:rsidP="00483828"/>
    <w:p w:rsidR="00144380" w:rsidRDefault="00144380" w:rsidP="00483828"/>
    <w:p w:rsidR="0033712D" w:rsidRDefault="0033712D" w:rsidP="00483828"/>
    <w:p w:rsidR="00483828" w:rsidRPr="005210CB" w:rsidRDefault="00483828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C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20434" w:rsidRPr="005210CB" w:rsidRDefault="00820434" w:rsidP="0082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CB">
        <w:rPr>
          <w:rFonts w:ascii="Times New Roman" w:hAnsi="Times New Roman" w:cs="Times New Roman"/>
          <w:b/>
          <w:sz w:val="28"/>
          <w:szCs w:val="28"/>
        </w:rPr>
        <w:t xml:space="preserve">о работе контрактного управляющего </w:t>
      </w:r>
    </w:p>
    <w:p w:rsidR="00483828" w:rsidRPr="00144380" w:rsidRDefault="00483828" w:rsidP="0033712D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483828" w:rsidRDefault="00483828" w:rsidP="00483828">
      <w:pPr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302644" w:rsidRDefault="00302644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820434" w:rsidRDefault="00820434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26F7C" w:rsidRPr="00302644" w:rsidRDefault="00F345B2" w:rsidP="0030264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644">
        <w:rPr>
          <w:rFonts w:ascii="Times New Roman" w:hAnsi="Times New Roman" w:cs="Times New Roman"/>
          <w:sz w:val="28"/>
          <w:szCs w:val="28"/>
        </w:rPr>
        <w:t>с.</w:t>
      </w:r>
      <w:r w:rsidR="00560172" w:rsidRPr="00302644">
        <w:rPr>
          <w:rFonts w:ascii="Times New Roman" w:hAnsi="Times New Roman" w:cs="Times New Roman"/>
          <w:sz w:val="28"/>
          <w:szCs w:val="28"/>
        </w:rPr>
        <w:t xml:space="preserve"> </w:t>
      </w:r>
      <w:r w:rsidR="00C34EFB">
        <w:rPr>
          <w:rFonts w:ascii="Times New Roman" w:hAnsi="Times New Roman" w:cs="Times New Roman"/>
          <w:sz w:val="28"/>
          <w:szCs w:val="28"/>
        </w:rPr>
        <w:t>Подгор</w:t>
      </w:r>
      <w:r w:rsidR="00EF1DA5" w:rsidRPr="00302644">
        <w:rPr>
          <w:rFonts w:ascii="Times New Roman" w:hAnsi="Times New Roman" w:cs="Times New Roman"/>
          <w:sz w:val="28"/>
          <w:szCs w:val="28"/>
        </w:rPr>
        <w:t>ное</w:t>
      </w:r>
    </w:p>
    <w:p w:rsidR="00820434" w:rsidRPr="00302644" w:rsidRDefault="0014183D" w:rsidP="0030264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667A5" w:rsidRPr="00302644">
        <w:rPr>
          <w:rFonts w:ascii="Times New Roman" w:hAnsi="Times New Roman" w:cs="Times New Roman"/>
          <w:sz w:val="28"/>
          <w:szCs w:val="28"/>
        </w:rPr>
        <w:t>г</w:t>
      </w:r>
    </w:p>
    <w:p w:rsidR="00820434" w:rsidRPr="00820434" w:rsidRDefault="00820434" w:rsidP="0082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20434" w:rsidRPr="00820434" w:rsidRDefault="00820434" w:rsidP="00820434">
      <w:pPr>
        <w:pStyle w:val="Default"/>
        <w:jc w:val="both"/>
        <w:rPr>
          <w:color w:val="auto"/>
          <w:sz w:val="28"/>
          <w:szCs w:val="28"/>
        </w:rPr>
      </w:pPr>
      <w:r w:rsidRPr="00820434">
        <w:rPr>
          <w:sz w:val="28"/>
          <w:szCs w:val="28"/>
        </w:rPr>
        <w:t xml:space="preserve">1.1. Настоящее </w:t>
      </w:r>
      <w:r w:rsidRPr="00820434">
        <w:rPr>
          <w:color w:val="auto"/>
          <w:sz w:val="28"/>
          <w:szCs w:val="28"/>
        </w:rPr>
        <w:t>Положение</w:t>
      </w:r>
      <w:r w:rsidRPr="00820434">
        <w:rPr>
          <w:color w:val="0070C0"/>
          <w:sz w:val="28"/>
          <w:szCs w:val="28"/>
        </w:rPr>
        <w:t xml:space="preserve"> </w:t>
      </w:r>
      <w:r w:rsidRPr="00820434">
        <w:rPr>
          <w:sz w:val="28"/>
          <w:szCs w:val="28"/>
        </w:rPr>
        <w:t xml:space="preserve">разработано в </w:t>
      </w:r>
      <w:r w:rsidRPr="00820434">
        <w:rPr>
          <w:color w:val="auto"/>
          <w:sz w:val="28"/>
          <w:szCs w:val="28"/>
        </w:rPr>
        <w:t xml:space="preserve">соответствии с </w:t>
      </w:r>
      <w:r w:rsidRPr="00820434"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 w:rsidRPr="00820434">
        <w:rPr>
          <w:color w:val="auto"/>
          <w:sz w:val="28"/>
          <w:szCs w:val="28"/>
        </w:rPr>
        <w:t xml:space="preserve">нужд» </w:t>
      </w:r>
      <w:r w:rsidRPr="00820434">
        <w:rPr>
          <w:color w:val="auto"/>
          <w:spacing w:val="2"/>
          <w:sz w:val="28"/>
          <w:szCs w:val="28"/>
          <w:shd w:val="clear" w:color="auto" w:fill="FFFFFF"/>
        </w:rPr>
        <w:t>с изменениями от 30 декабря 2020 года</w:t>
      </w:r>
      <w:r w:rsidRPr="00820434">
        <w:rPr>
          <w:color w:val="auto"/>
          <w:sz w:val="28"/>
          <w:szCs w:val="28"/>
        </w:rPr>
        <w:t>, Конституцией Российской Федерации, гражданским и бюджетным законодательством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  <w:r w:rsidRPr="00820434">
        <w:rPr>
          <w:sz w:val="28"/>
          <w:szCs w:val="28"/>
        </w:rPr>
        <w:t>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1.2. Данное Положение устанавливает права и обязанности контрактного управляющего, порядок его работы при осуществлении закупок товаров, работ, услуг для обеспечения нужд дошкольного образовательного учреждения (заказчика),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1.3.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Контрактный управляющий назначается приказом заведующего </w:t>
      </w:r>
      <w:r w:rsidRPr="00820434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20434">
        <w:rPr>
          <w:rFonts w:ascii="Times New Roman" w:hAnsi="Times New Roman" w:cs="Times New Roman"/>
          <w:sz w:val="28"/>
          <w:szCs w:val="28"/>
        </w:rPr>
        <w:t xml:space="preserve">из числа административно-управляющего персонала ДОУ в целях обеспечения планирования и осуществления закупок товаров, работ, услуг (далее – закупка) для обеспечения нужд детского сада, если годовой объем закупок в соответствии с планом-графиком закупок не превышает 100 млн. рублей,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и подчиняется ему непосредственно.</w:t>
      </w:r>
    </w:p>
    <w:p w:rsidR="00820434" w:rsidRPr="00820434" w:rsidRDefault="00820434" w:rsidP="00820434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65534905"/>
      <w:bookmarkStart w:id="2" w:name="_Toc145402111"/>
      <w:r w:rsidRPr="00820434">
        <w:rPr>
          <w:rFonts w:ascii="Times New Roman" w:hAnsi="Times New Roman" w:cs="Times New Roman"/>
          <w:sz w:val="28"/>
          <w:szCs w:val="28"/>
        </w:rPr>
        <w:t xml:space="preserve">1.4.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Основными принципами деятельности контрактного управляющего</w:t>
      </w:r>
      <w:r w:rsidRPr="00820434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товара, работы, услуги для обеспечения нужд дошкольного образовательного учреждения являются: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профессионализм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открытость и прозрачность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эффективность и результативность</w:t>
      </w:r>
      <w:r w:rsidRPr="00820434">
        <w:rPr>
          <w:sz w:val="28"/>
          <w:szCs w:val="28"/>
        </w:rPr>
        <w:t xml:space="preserve"> 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ответственность за</w:t>
      </w:r>
      <w:r w:rsidRPr="00820434">
        <w:rPr>
          <w:sz w:val="28"/>
          <w:szCs w:val="28"/>
        </w:rPr>
        <w:t xml:space="preserve"> </w:t>
      </w:r>
      <w:r w:rsidRPr="00820434">
        <w:rPr>
          <w:i/>
          <w:sz w:val="28"/>
          <w:szCs w:val="28"/>
        </w:rPr>
        <w:t>результативность</w:t>
      </w:r>
      <w:r w:rsidRPr="00820434">
        <w:rPr>
          <w:sz w:val="28"/>
          <w:szCs w:val="28"/>
        </w:rPr>
        <w:t xml:space="preserve"> 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установленных законодательством Российской Федерации о контрактной системе и нормативно-правовыми актами в сфере закупок.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sub_36"/>
      <w:r w:rsidRPr="00820434">
        <w:rPr>
          <w:rFonts w:ascii="Times New Roman" w:hAnsi="Times New Roman" w:cs="Times New Roman"/>
          <w:sz w:val="28"/>
          <w:szCs w:val="28"/>
        </w:rPr>
        <w:t xml:space="preserve">1.5.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 обязанностям контрактного управляющего относят:</w:t>
      </w:r>
    </w:p>
    <w:bookmarkEnd w:id="3"/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закупок;</w:t>
      </w:r>
      <w:bookmarkStart w:id="4" w:name="sub_22"/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bookmarkEnd w:id="4"/>
      <w:r w:rsidRPr="00820434">
        <w:rPr>
          <w:rFonts w:ascii="Times New Roman" w:hAnsi="Times New Roman" w:cs="Times New Roman"/>
          <w:sz w:val="28"/>
          <w:szCs w:val="28"/>
        </w:rPr>
        <w:t>обязательное общественное обсуждение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End w:id="5"/>
      <w:r w:rsidRPr="00820434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комиссий по осуществлению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5"/>
      <w:bookmarkEnd w:id="6"/>
      <w:r w:rsidRPr="00820434">
        <w:rPr>
          <w:rFonts w:ascii="Times New Roman" w:hAnsi="Times New Roman" w:cs="Times New Roman"/>
          <w:sz w:val="28"/>
          <w:szCs w:val="28"/>
        </w:rPr>
        <w:t>привлечение экспертов, экспертных организаций;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6"/>
      <w:bookmarkEnd w:id="7"/>
      <w:r w:rsidRPr="00820434">
        <w:rPr>
          <w:rFonts w:ascii="Times New Roman" w:hAnsi="Times New Roman" w:cs="Times New Roman"/>
          <w:sz w:val="28"/>
          <w:szCs w:val="28"/>
        </w:rPr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9"/>
      <w:bookmarkEnd w:id="8"/>
      <w:r w:rsidRPr="00820434">
        <w:rPr>
          <w:rFonts w:ascii="Times New Roman" w:hAnsi="Times New Roman" w:cs="Times New Roman"/>
          <w:sz w:val="28"/>
          <w:szCs w:val="28"/>
        </w:rPr>
        <w:t>организация заключения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"/>
      <w:bookmarkEnd w:id="9"/>
      <w:r w:rsidRPr="00820434">
        <w:rPr>
          <w:rFonts w:ascii="Times New Roman" w:hAnsi="Times New Roman" w:cs="Times New Roman"/>
          <w:sz w:val="28"/>
          <w:szCs w:val="28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"/>
      <w:bookmarkEnd w:id="10"/>
      <w:r w:rsidRPr="00820434">
        <w:rPr>
          <w:rFonts w:ascii="Times New Roman" w:hAnsi="Times New Roman" w:cs="Times New Roman"/>
          <w:sz w:val="28"/>
          <w:szCs w:val="28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820434">
        <w:rPr>
          <w:rFonts w:ascii="Times New Roman" w:hAnsi="Times New Roman" w:cs="Times New Roman"/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3"/>
      <w:bookmarkEnd w:id="12"/>
      <w:r w:rsidRPr="00820434">
        <w:rPr>
          <w:rFonts w:ascii="Times New Roman" w:hAnsi="Times New Roman" w:cs="Times New Roman"/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4"/>
      <w:bookmarkEnd w:id="13"/>
      <w:r w:rsidRPr="00820434">
        <w:rPr>
          <w:rFonts w:ascii="Times New Roman" w:hAnsi="Times New Roman" w:cs="Times New Roman"/>
          <w:sz w:val="28"/>
          <w:szCs w:val="28"/>
        </w:rPr>
        <w:t xml:space="preserve">направление поставщику (подрядчику, исполнителю) требования об уплате неустоек (штрафов, пеней); 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5"/>
      <w:bookmarkEnd w:id="14"/>
      <w:r w:rsidRPr="00820434">
        <w:rPr>
          <w:rFonts w:ascii="Times New Roman" w:hAnsi="Times New Roman" w:cs="Times New Roman"/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соответствующих материалов для выполнения претензионной работы.</w:t>
      </w:r>
      <w:bookmarkEnd w:id="15"/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1.6.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Деятельность контрактного управляющего направлена на решение следующих задач: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эффективное использование денежных средств, развитие добросовестной конкуренции;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повышение уровня гласности и прозрачности при формировании, размещении и исполнении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заказа на поставки товаров, выполнение работ, оказание услуг для нужд </w:t>
      </w:r>
      <w:r w:rsidRPr="00820434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820434" w:rsidRPr="00820434" w:rsidRDefault="00820434" w:rsidP="00820434">
      <w:pPr>
        <w:pStyle w:val="tekstob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bookmarkStart w:id="16" w:name="_Toc165534907"/>
      <w:bookmarkStart w:id="17" w:name="_Toc145402112"/>
      <w:bookmarkEnd w:id="1"/>
      <w:bookmarkEnd w:id="2"/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 Порядок назначения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2.1. Конкретное должностное лицо, назначаемое контрактным управляющим, определяется и утверждается приказом заведующего дошкольным образовательным учреждением.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2.2.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2.4. В случае выявления в качестве контрактного управляющего указанных лиц заказчик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 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3. Функции и полномочия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3.1. Контрактный управляющий осуществляет следующие функции и полномочия:</w:t>
      </w:r>
    </w:p>
    <w:p w:rsidR="000A3B3D" w:rsidRPr="000A3B3D" w:rsidRDefault="00820434" w:rsidP="000A3B3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>3.1.1.</w:t>
      </w:r>
      <w:r w:rsidR="000A3B3D"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Подготавливает и размещает в ЕИС: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план-график и изменения в него;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извещения об осуществлении закупок;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документацию о закупках (в случае, если Федеральным законом №44-ФЗ предусмотрена документация о закупке) и проектов контрактов, подготовку и направление приглашений;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проекты контрактов.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3.1.2.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определении поставщиков (подрядчиков, исполнителей):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6"/>
      <w:r w:rsidRPr="00820434">
        <w:rPr>
          <w:rFonts w:ascii="Times New Roman" w:hAnsi="Times New Roman" w:cs="Times New Roman"/>
          <w:sz w:val="28"/>
          <w:szCs w:val="28"/>
        </w:rPr>
        <w:t>выбирает способ определения поставщика (подрядчика, исполнителя);</w:t>
      </w:r>
    </w:p>
    <w:bookmarkEnd w:id="18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9"/>
      <w:r w:rsidRPr="00820434">
        <w:rPr>
          <w:rFonts w:ascii="Times New Roman" w:hAnsi="Times New Roman" w:cs="Times New Roman"/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0"/>
      <w:bookmarkEnd w:id="19"/>
      <w:r w:rsidRPr="00820434">
        <w:rPr>
          <w:rFonts w:ascii="Times New Roman" w:hAnsi="Times New Roman" w:cs="Times New Roman"/>
          <w:sz w:val="28"/>
          <w:szCs w:val="28"/>
        </w:rPr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1"/>
      <w:bookmarkEnd w:id="20"/>
      <w:r w:rsidRPr="00820434">
        <w:rPr>
          <w:rFonts w:ascii="Times New Roman" w:hAnsi="Times New Roman" w:cs="Times New Roman"/>
          <w:sz w:val="28"/>
          <w:szCs w:val="28"/>
        </w:rPr>
        <w:t>организует подготовку описания объекта закупки в документации о закупке;</w:t>
      </w:r>
    </w:p>
    <w:bookmarkEnd w:id="21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неприостановления деятельности участника закупки в порядке, установленном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Кодексом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 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527"/>
      <w:r w:rsidRPr="00820434">
        <w:rPr>
          <w:rFonts w:ascii="Times New Roman" w:hAnsi="Times New Roman" w:cs="Times New Roman"/>
          <w:sz w:val="28"/>
          <w:szCs w:val="28"/>
        </w:rPr>
        <w:t xml:space="preserve"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 </w:t>
      </w:r>
    </w:p>
    <w:bookmarkEnd w:id="22"/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обладания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между участником закупки и заказчиком конфликта интересов, в случаях, установленных подпунктом 9 части 1 статьи 31 Федерального закона;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участник закупки не является офшорной компанией;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ограничений для участия в закупках, установленных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соответствия дополнительным требованиям, устанавливаемым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 2 статьи 31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3"/>
      <w:r w:rsidRPr="00820434">
        <w:rPr>
          <w:rFonts w:ascii="Times New Roman" w:hAnsi="Times New Roman" w:cs="Times New Roman"/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4"/>
      <w:bookmarkEnd w:id="23"/>
      <w:r w:rsidRPr="00820434">
        <w:rPr>
          <w:rFonts w:ascii="Times New Roman" w:hAnsi="Times New Roman" w:cs="Times New Roman"/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5"/>
      <w:bookmarkEnd w:id="24"/>
      <w:r w:rsidRPr="00820434">
        <w:rPr>
          <w:rFonts w:ascii="Times New Roman" w:hAnsi="Times New Roman" w:cs="Times New Roman"/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6"/>
      <w:bookmarkEnd w:id="25"/>
      <w:r w:rsidRPr="00820434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9"/>
      <w:bookmarkEnd w:id="26"/>
      <w:r w:rsidRPr="00820434">
        <w:rPr>
          <w:rFonts w:ascii="Times New Roman" w:hAnsi="Times New Roman" w:cs="Times New Roman"/>
          <w:sz w:val="28"/>
          <w:szCs w:val="28"/>
        </w:rPr>
        <w:t>обеспечивает соответствие закупок национальным режимам в соответствии со ст. 14 федерального закона 44-ФЗ;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64"/>
      <w:bookmarkEnd w:id="27"/>
      <w:r w:rsidRPr="00820434">
        <w:rPr>
          <w:rFonts w:ascii="Times New Roman" w:hAnsi="Times New Roman" w:cs="Times New Roman"/>
          <w:sz w:val="28"/>
          <w:szCs w:val="28"/>
        </w:rPr>
        <w:t>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5"/>
      <w:bookmarkEnd w:id="28"/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 3 статьи 84</w:t>
      </w:r>
      <w:r w:rsidRPr="00820434">
        <w:rPr>
          <w:rFonts w:ascii="Times New Roman" w:hAnsi="Times New Roman" w:cs="Times New Roman"/>
          <w:sz w:val="28"/>
          <w:szCs w:val="28"/>
        </w:rPr>
        <w:t>, частью 3 статьи 84.1 Федерального закона;</w:t>
      </w:r>
    </w:p>
    <w:bookmarkEnd w:id="29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пунктами 24</w:t>
      </w:r>
      <w:r w:rsidRPr="00820434">
        <w:rPr>
          <w:rFonts w:ascii="Times New Roman" w:hAnsi="Times New Roman" w:cs="Times New Roman"/>
          <w:sz w:val="28"/>
          <w:szCs w:val="28"/>
        </w:rPr>
        <w:t xml:space="preserve"> и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25 части 1 статьи 93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67"/>
      <w:r w:rsidRPr="00820434">
        <w:rPr>
          <w:rFonts w:ascii="Times New Roman" w:hAnsi="Times New Roman" w:cs="Times New Roman"/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820434" w:rsidRPr="00820434" w:rsidRDefault="00820434" w:rsidP="0082043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bookmarkStart w:id="31" w:name="sub_68"/>
      <w:bookmarkEnd w:id="30"/>
      <w:r w:rsidRPr="00820434">
        <w:rPr>
          <w:rFonts w:ascii="Times New Roman" w:hAnsi="Times New Roman" w:cs="Times New Roman"/>
          <w:sz w:val="28"/>
          <w:szCs w:val="28"/>
        </w:rPr>
        <w:t>обеспечивает заключение контрактов;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69"/>
      <w:bookmarkEnd w:id="31"/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  <w:bookmarkEnd w:id="32"/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3.1.3.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исполнении, изменении, расторжении контракта: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71"/>
      <w:r w:rsidRPr="00820434">
        <w:rPr>
          <w:rFonts w:ascii="Times New Roman" w:hAnsi="Times New Roman" w:cs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2"/>
      <w:bookmarkEnd w:id="33"/>
      <w:r w:rsidRPr="00820434">
        <w:rPr>
          <w:rFonts w:ascii="Times New Roman" w:hAnsi="Times New Roman" w:cs="Times New Roman"/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3"/>
      <w:bookmarkEnd w:id="34"/>
      <w:r w:rsidRPr="00820434">
        <w:rPr>
          <w:rFonts w:ascii="Times New Roman" w:hAnsi="Times New Roman" w:cs="Times New Roman"/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74"/>
      <w:bookmarkEnd w:id="35"/>
      <w:r w:rsidRPr="00820434">
        <w:rPr>
          <w:rFonts w:ascii="Times New Roman" w:hAnsi="Times New Roman" w:cs="Times New Roman"/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75"/>
      <w:bookmarkEnd w:id="36"/>
      <w:r w:rsidRPr="00820434">
        <w:rPr>
          <w:rFonts w:ascii="Times New Roman" w:hAnsi="Times New Roman" w:cs="Times New Roman"/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76"/>
      <w:bookmarkEnd w:id="37"/>
      <w:r w:rsidRPr="00820434">
        <w:rPr>
          <w:rFonts w:ascii="Times New Roman" w:hAnsi="Times New Roman" w:cs="Times New Roman"/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78"/>
      <w:bookmarkEnd w:id="38"/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79"/>
      <w:bookmarkEnd w:id="39"/>
      <w:r w:rsidRPr="00820434">
        <w:rPr>
          <w:rFonts w:ascii="Times New Roman" w:hAnsi="Times New Roman" w:cs="Times New Roman"/>
          <w:sz w:val="28"/>
          <w:szCs w:val="28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bookmarkEnd w:id="40"/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контрактов, заключенных заказчиками, информации о контрактах, заключенных заказчиками.</w:t>
      </w:r>
    </w:p>
    <w:p w:rsidR="00820434" w:rsidRPr="00820434" w:rsidRDefault="00820434" w:rsidP="00820434">
      <w:pPr>
        <w:tabs>
          <w:tab w:val="left" w:pos="567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3.2.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Контрактный управляющий в ДОУ осуществляет иные полномочия, предусмотренные Федеральным законом, в том числе: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 графики, документацию о закупках или обеспечивает отмену закупки;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  <w:r>
        <w:rPr>
          <w:rFonts w:ascii="Times New Roman" w:hAnsi="Times New Roman" w:cs="Times New Roman"/>
          <w:color w:val="FFFFFF"/>
          <w:sz w:val="28"/>
          <w:szCs w:val="28"/>
        </w:rPr>
        <w:t>Источник: https://ohrana-t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om/node/3996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3.2.5. Разрабатывает проекты контрактов.</w:t>
      </w:r>
    </w:p>
    <w:p w:rsidR="00820434" w:rsidRPr="00820434" w:rsidRDefault="002D5AB0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820434" w:rsidRPr="00820434">
        <w:rPr>
          <w:rFonts w:ascii="Times New Roman" w:hAnsi="Times New Roman" w:cs="Times New Roman"/>
          <w:sz w:val="28"/>
          <w:szCs w:val="28"/>
        </w:rPr>
        <w:t>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 xml:space="preserve">3.3. В целях реализации функций и полномочий, указанных в пунктах 3.1, 3.2.  настоящего Положения, </w:t>
      </w:r>
      <w:r w:rsidRPr="00820434">
        <w:rPr>
          <w:sz w:val="28"/>
          <w:szCs w:val="28"/>
          <w:u w:val="single"/>
        </w:rPr>
        <w:t>контрактный управляющий обязан: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соблюдать иные обязательства и требования, установленные Законом.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Источник: https://ohrana-tryda.com/node/3996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3.5. В пределах своей компетенции контрактный управляющий осуществляет взаимодействие с другими структурными подразделениями заказчика, а также осуществляет иные полномочия, предусмотренные внутренними документами заказчика.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34">
        <w:rPr>
          <w:rFonts w:ascii="Times New Roman" w:hAnsi="Times New Roman" w:cs="Times New Roman"/>
          <w:b/>
          <w:bCs/>
          <w:sz w:val="28"/>
          <w:szCs w:val="28"/>
        </w:rPr>
        <w:t>4. Ответственность контрактного управляющего</w:t>
      </w:r>
    </w:p>
    <w:p w:rsidR="00820434" w:rsidRP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820434" w:rsidRPr="00820434" w:rsidRDefault="00820434" w:rsidP="008204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</w:t>
      </w:r>
      <w:bookmarkEnd w:id="16"/>
      <w:bookmarkEnd w:id="17"/>
      <w:r w:rsidRPr="00820434">
        <w:rPr>
          <w:rFonts w:ascii="Times New Roman" w:hAnsi="Times New Roman" w:cs="Times New Roman"/>
          <w:sz w:val="28"/>
          <w:szCs w:val="28"/>
        </w:rPr>
        <w:t>заведующим дошкольным образовательным учреждением.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5. Взаимодействие со структурными подразделениями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5.1. Контрактный управляющий выполняет свои полномочия во взаимодействии со структурными подразделениями дошкольного образовательного учреждения.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5.2. По вопросам составления плана закупок, планов-графиков,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 осуществлению закупок взаимодействует с заведующим детским садом.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5.3. По вопросам составления плана закупок, планов-графиков, открытия/закрытия счетов для временного хранения денежных средств, приема/возврата обеспечений заявок участников процедур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820434" w:rsidRP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6.1. Настоящее </w:t>
      </w:r>
      <w:hyperlink r:id="rId8" w:history="1">
        <w:r w:rsidRPr="00820434">
          <w:rPr>
            <w:rStyle w:val="ab"/>
            <w:rFonts w:ascii="Times New Roman" w:hAnsi="Times New Roman" w:cs="Times New Roman"/>
            <w:sz w:val="28"/>
            <w:szCs w:val="28"/>
          </w:rPr>
          <w:t>Положение о контрактном управляющем в ДОУ</w:t>
        </w:r>
      </w:hyperlink>
      <w:r w:rsidRPr="00820434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616000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1263B" w:rsidSect="003371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9C7" w:rsidRDefault="00D209C7" w:rsidP="00560172">
      <w:pPr>
        <w:spacing w:after="0" w:line="240" w:lineRule="auto"/>
      </w:pPr>
      <w:r>
        <w:separator/>
      </w:r>
    </w:p>
  </w:endnote>
  <w:endnote w:type="continuationSeparator" w:id="1">
    <w:p w:rsidR="00D209C7" w:rsidRDefault="00D209C7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9C7" w:rsidRDefault="00D209C7" w:rsidP="00560172">
      <w:pPr>
        <w:spacing w:after="0" w:line="240" w:lineRule="auto"/>
      </w:pPr>
      <w:r>
        <w:separator/>
      </w:r>
    </w:p>
  </w:footnote>
  <w:footnote w:type="continuationSeparator" w:id="1">
    <w:p w:rsidR="00D209C7" w:rsidRDefault="00D209C7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542A6"/>
    <w:multiLevelType w:val="hybridMultilevel"/>
    <w:tmpl w:val="20D611B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0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1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7C2B34"/>
    <w:multiLevelType w:val="hybridMultilevel"/>
    <w:tmpl w:val="2538277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B025F"/>
    <w:multiLevelType w:val="hybridMultilevel"/>
    <w:tmpl w:val="5E00BC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7182"/>
    <w:multiLevelType w:val="multilevel"/>
    <w:tmpl w:val="AC3AB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13"/>
  </w:num>
  <w:num w:numId="4">
    <w:abstractNumId w:val="15"/>
  </w:num>
  <w:num w:numId="5">
    <w:abstractNumId w:val="29"/>
  </w:num>
  <w:num w:numId="6">
    <w:abstractNumId w:val="7"/>
  </w:num>
  <w:num w:numId="7">
    <w:abstractNumId w:val="17"/>
  </w:num>
  <w:num w:numId="8">
    <w:abstractNumId w:val="23"/>
  </w:num>
  <w:num w:numId="9">
    <w:abstractNumId w:val="24"/>
  </w:num>
  <w:num w:numId="10">
    <w:abstractNumId w:val="3"/>
  </w:num>
  <w:num w:numId="11">
    <w:abstractNumId w:val="27"/>
  </w:num>
  <w:num w:numId="12">
    <w:abstractNumId w:val="12"/>
  </w:num>
  <w:num w:numId="13">
    <w:abstractNumId w:val="21"/>
  </w:num>
  <w:num w:numId="14">
    <w:abstractNumId w:val="2"/>
  </w:num>
  <w:num w:numId="15">
    <w:abstractNumId w:val="6"/>
  </w:num>
  <w:num w:numId="16">
    <w:abstractNumId w:val="14"/>
  </w:num>
  <w:num w:numId="17">
    <w:abstractNumId w:val="9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5"/>
  </w:num>
  <w:num w:numId="21">
    <w:abstractNumId w:val="11"/>
  </w:num>
  <w:num w:numId="22">
    <w:abstractNumId w:val="20"/>
  </w:num>
  <w:num w:numId="23">
    <w:abstractNumId w:val="18"/>
  </w:num>
  <w:num w:numId="24">
    <w:abstractNumId w:val="28"/>
  </w:num>
  <w:num w:numId="25">
    <w:abstractNumId w:val="25"/>
  </w:num>
  <w:num w:numId="26">
    <w:abstractNumId w:val="1"/>
  </w:num>
  <w:num w:numId="27">
    <w:abstractNumId w:val="19"/>
  </w:num>
  <w:num w:numId="28">
    <w:abstractNumId w:val="16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A3B3D"/>
    <w:rsid w:val="000C7292"/>
    <w:rsid w:val="00117838"/>
    <w:rsid w:val="0014183D"/>
    <w:rsid w:val="00144380"/>
    <w:rsid w:val="00170507"/>
    <w:rsid w:val="00194A8D"/>
    <w:rsid w:val="002657ED"/>
    <w:rsid w:val="002848B9"/>
    <w:rsid w:val="002A3C43"/>
    <w:rsid w:val="002D5AB0"/>
    <w:rsid w:val="00300918"/>
    <w:rsid w:val="00302644"/>
    <w:rsid w:val="00332EC5"/>
    <w:rsid w:val="0033712D"/>
    <w:rsid w:val="00370C79"/>
    <w:rsid w:val="00385270"/>
    <w:rsid w:val="00483828"/>
    <w:rsid w:val="00490AF0"/>
    <w:rsid w:val="004C230B"/>
    <w:rsid w:val="004D7632"/>
    <w:rsid w:val="005210CB"/>
    <w:rsid w:val="00560172"/>
    <w:rsid w:val="00616000"/>
    <w:rsid w:val="006A4957"/>
    <w:rsid w:val="00793A9A"/>
    <w:rsid w:val="007E1891"/>
    <w:rsid w:val="008161BE"/>
    <w:rsid w:val="00820434"/>
    <w:rsid w:val="00864EFB"/>
    <w:rsid w:val="008B2698"/>
    <w:rsid w:val="00960AC5"/>
    <w:rsid w:val="009950DA"/>
    <w:rsid w:val="009B5703"/>
    <w:rsid w:val="009C2035"/>
    <w:rsid w:val="00A26F7C"/>
    <w:rsid w:val="00A667A5"/>
    <w:rsid w:val="00A710CA"/>
    <w:rsid w:val="00AC5BD6"/>
    <w:rsid w:val="00AE2E09"/>
    <w:rsid w:val="00B1263B"/>
    <w:rsid w:val="00B200DE"/>
    <w:rsid w:val="00B66131"/>
    <w:rsid w:val="00BC78DF"/>
    <w:rsid w:val="00C03E6B"/>
    <w:rsid w:val="00C249F7"/>
    <w:rsid w:val="00C34EFB"/>
    <w:rsid w:val="00C74456"/>
    <w:rsid w:val="00CA4CE3"/>
    <w:rsid w:val="00D209C7"/>
    <w:rsid w:val="00D56401"/>
    <w:rsid w:val="00DE45D8"/>
    <w:rsid w:val="00E443B4"/>
    <w:rsid w:val="00E65CAB"/>
    <w:rsid w:val="00E97CF2"/>
    <w:rsid w:val="00EF1DA5"/>
    <w:rsid w:val="00F22217"/>
    <w:rsid w:val="00F345B2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04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204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820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uiPriority w:val="99"/>
    <w:rsid w:val="0082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820434"/>
    <w:rPr>
      <w:color w:val="106BBE"/>
    </w:rPr>
  </w:style>
  <w:style w:type="table" w:styleId="af">
    <w:name w:val="Table Grid"/>
    <w:basedOn w:val="a1"/>
    <w:uiPriority w:val="39"/>
    <w:rsid w:val="00B126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0165-E30F-41D3-B226-97054AA4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2022-03-31T12:16:00Z</cp:lastPrinted>
  <dcterms:created xsi:type="dcterms:W3CDTF">2022-03-31T12:22:00Z</dcterms:created>
  <dcterms:modified xsi:type="dcterms:W3CDTF">2022-03-31T12:22:00Z</dcterms:modified>
</cp:coreProperties>
</file>